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15" w:lineRule="atLeast"/>
        <w:ind w:left="0" w:right="0"/>
        <w:jc w:val="center"/>
        <w:rPr>
          <w:rFonts w:hint="eastAsia" w:ascii="宋体" w:hAnsi="宋体" w:eastAsia="宋体" w:cs="宋体"/>
          <w:color w:val="333333"/>
          <w:kern w:val="0"/>
          <w:szCs w:val="21"/>
          <w:lang w:val="en-US"/>
        </w:rPr>
      </w:pPr>
      <w:r>
        <w:rPr>
          <w:rFonts w:hint="eastAsia" w:ascii="宋体" w:hAnsi="宋体" w:eastAsia="宋体" w:cs="宋体"/>
          <w:b/>
          <w:color w:val="333333"/>
          <w:kern w:val="0"/>
          <w:sz w:val="44"/>
          <w:szCs w:val="44"/>
          <w:lang w:val="en-US" w:eastAsia="zh-CN" w:bidi="ar"/>
        </w:rPr>
        <w:t>国务院关于加快发展现代职业教育的决定</w:t>
      </w:r>
    </w:p>
    <w:p>
      <w:pPr>
        <w:keepNext w:val="0"/>
        <w:keepLines w:val="0"/>
        <w:widowControl/>
        <w:suppressLineNumbers w:val="0"/>
        <w:spacing w:before="240" w:beforeAutospacing="0" w:after="240" w:afterAutospacing="0"/>
        <w:ind w:left="0" w:right="0"/>
        <w:jc w:val="both"/>
        <w:rPr>
          <w:rFonts w:hint="eastAsia" w:ascii="宋体" w:hAnsi="宋体" w:eastAsia="宋体" w:cs="宋体"/>
          <w:color w:val="333333"/>
          <w:kern w:val="0"/>
          <w:szCs w:val="21"/>
          <w:lang w:val="en-US"/>
        </w:rPr>
      </w:pPr>
      <w:r>
        <w:rPr>
          <w:rFonts w:hint="eastAsia" w:ascii="宋体" w:hAnsi="宋体" w:eastAsia="宋体" w:cs="宋体"/>
          <w:b/>
          <w:color w:val="333333"/>
          <w:kern w:val="0"/>
          <w:sz w:val="21"/>
          <w:szCs w:val="24"/>
          <w:lang w:val="en-US" w:eastAsia="zh-CN" w:bidi="ar"/>
        </w:rPr>
        <w:t>发文单位</w:t>
      </w:r>
      <w:r>
        <w:rPr>
          <w:rFonts w:hint="eastAsia" w:ascii="宋体" w:hAnsi="宋体" w:eastAsia="宋体" w:cs="宋体"/>
          <w:color w:val="333333"/>
          <w:kern w:val="0"/>
          <w:sz w:val="21"/>
          <w:szCs w:val="21"/>
          <w:lang w:val="en-US" w:eastAsia="zh-CN" w:bidi="ar"/>
        </w:rPr>
        <w:t>：国务院</w:t>
      </w:r>
    </w:p>
    <w:p>
      <w:pPr>
        <w:keepNext w:val="0"/>
        <w:keepLines w:val="0"/>
        <w:widowControl/>
        <w:suppressLineNumbers w:val="0"/>
        <w:spacing w:before="240" w:beforeAutospacing="0" w:after="240" w:afterAutospacing="0"/>
        <w:ind w:left="0" w:right="0"/>
        <w:jc w:val="both"/>
        <w:rPr>
          <w:rFonts w:hint="eastAsia" w:ascii="宋体" w:hAnsi="宋体" w:eastAsia="宋体" w:cs="宋体"/>
          <w:color w:val="333333"/>
          <w:kern w:val="0"/>
          <w:szCs w:val="21"/>
          <w:lang w:val="en-US"/>
        </w:rPr>
      </w:pPr>
      <w:r>
        <w:rPr>
          <w:rFonts w:hint="eastAsia" w:ascii="宋体" w:hAnsi="宋体" w:eastAsia="宋体" w:cs="宋体"/>
          <w:b/>
          <w:color w:val="333333"/>
          <w:kern w:val="0"/>
          <w:sz w:val="21"/>
          <w:szCs w:val="24"/>
          <w:lang w:val="en-US" w:eastAsia="zh-CN" w:bidi="ar"/>
        </w:rPr>
        <w:t>文　　号</w:t>
      </w:r>
      <w:r>
        <w:rPr>
          <w:rFonts w:hint="eastAsia" w:ascii="宋体" w:hAnsi="宋体" w:eastAsia="宋体" w:cs="宋体"/>
          <w:color w:val="333333"/>
          <w:kern w:val="0"/>
          <w:sz w:val="21"/>
          <w:szCs w:val="21"/>
          <w:lang w:val="en-US" w:eastAsia="zh-CN" w:bidi="ar"/>
        </w:rPr>
        <w:t>：国发〔2014〕19号</w:t>
      </w:r>
    </w:p>
    <w:p>
      <w:pPr>
        <w:keepNext w:val="0"/>
        <w:keepLines w:val="0"/>
        <w:widowControl/>
        <w:suppressLineNumbers w:val="0"/>
        <w:spacing w:before="240" w:beforeAutospacing="0" w:after="240" w:afterAutospacing="0"/>
        <w:ind w:left="0" w:right="0"/>
        <w:jc w:val="both"/>
        <w:rPr>
          <w:rFonts w:hint="eastAsia" w:ascii="宋体" w:hAnsi="宋体" w:eastAsia="宋体" w:cs="宋体"/>
          <w:color w:val="333333"/>
          <w:kern w:val="0"/>
          <w:szCs w:val="21"/>
          <w:lang w:val="en-US"/>
        </w:rPr>
      </w:pPr>
      <w:r>
        <w:rPr>
          <w:rFonts w:hint="eastAsia" w:ascii="宋体" w:hAnsi="宋体" w:eastAsia="宋体" w:cs="宋体"/>
          <w:b/>
          <w:color w:val="333333"/>
          <w:kern w:val="0"/>
          <w:sz w:val="21"/>
          <w:szCs w:val="24"/>
          <w:lang w:val="en-US" w:eastAsia="zh-CN" w:bidi="ar"/>
        </w:rPr>
        <w:t>发布日期</w:t>
      </w:r>
      <w:r>
        <w:rPr>
          <w:rFonts w:hint="eastAsia" w:ascii="宋体" w:hAnsi="宋体" w:eastAsia="宋体" w:cs="宋体"/>
          <w:color w:val="333333"/>
          <w:kern w:val="0"/>
          <w:sz w:val="21"/>
          <w:szCs w:val="21"/>
          <w:lang w:val="en-US" w:eastAsia="zh-CN" w:bidi="ar"/>
        </w:rPr>
        <w:t>：2014-5-2</w:t>
      </w:r>
    </w:p>
    <w:p>
      <w:pPr>
        <w:keepNext w:val="0"/>
        <w:keepLines w:val="0"/>
        <w:widowControl/>
        <w:suppressLineNumbers w:val="0"/>
        <w:spacing w:before="240" w:beforeAutospacing="0" w:after="240" w:afterAutospacing="0"/>
        <w:ind w:left="0" w:right="0"/>
        <w:jc w:val="both"/>
        <w:rPr>
          <w:rFonts w:hint="eastAsia" w:ascii="宋体" w:hAnsi="宋体" w:eastAsia="宋体" w:cs="宋体"/>
          <w:color w:val="333333"/>
          <w:kern w:val="0"/>
          <w:szCs w:val="21"/>
          <w:lang w:val="en-US"/>
        </w:rPr>
      </w:pPr>
      <w:r>
        <w:rPr>
          <w:rFonts w:hint="eastAsia" w:ascii="宋体" w:hAnsi="宋体" w:eastAsia="宋体" w:cs="宋体"/>
          <w:b/>
          <w:color w:val="333333"/>
          <w:kern w:val="0"/>
          <w:sz w:val="21"/>
          <w:szCs w:val="24"/>
          <w:lang w:val="en-US" w:eastAsia="zh-CN" w:bidi="ar"/>
        </w:rPr>
        <w:t>执行日期</w:t>
      </w:r>
      <w:r>
        <w:rPr>
          <w:rFonts w:hint="eastAsia" w:ascii="宋体" w:hAnsi="宋体" w:eastAsia="宋体" w:cs="宋体"/>
          <w:color w:val="333333"/>
          <w:kern w:val="0"/>
          <w:sz w:val="21"/>
          <w:szCs w:val="21"/>
          <w:lang w:val="en-US" w:eastAsia="zh-CN" w:bidi="ar"/>
        </w:rPr>
        <w:t>：2014-5-2</w:t>
      </w:r>
    </w:p>
    <w:p>
      <w:pPr>
        <w:keepNext w:val="0"/>
        <w:keepLines w:val="0"/>
        <w:widowControl/>
        <w:suppressLineNumbers w:val="0"/>
        <w:spacing w:before="0" w:beforeAutospacing="1" w:after="0" w:afterAutospacing="1" w:line="315" w:lineRule="atLeast"/>
        <w:ind w:left="0" w:right="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各省、自治区、直辖市人民政府，国务院各部委、各直属机构：</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一、总体要求</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（二）基本原则。</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——产教融合、特色办学。同步规划职业教育与经济社会发展，协调推进人力资源开发与技术进步，推动教育教学改革与产业转型升级衔接配套。突出职业院校办学特色，强化校企协同育人。</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（三）目标任务。到2020年，形成适应发展需求、产教深度融合、中职高职衔接、职业教育与普通教育相互沟通，体现终身教育理念，具有中国特色、世界水平的现代职业教育体系。</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结构规模更加合理。总体保持中等职业学校和普通高中招生规模大体相当，高等职业教育规模占高等教育的一半以上，总体教育结构更加合理。到2020年，中等职业教育在校生达到2350万人，专科层次职业教育在校生达到1480万人，接受本科层次职业教育的学生达到一定规模。从业人员继续教育达到3.5亿人次。</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院校布局和专业设置更加适应经济社会需求。调整完善职业院校区域布局，科学合理设置专业，健全专业随产业发展动态调整的机制，重点提升面向现代农业、先进制造业、现代服务业、战略性新兴产业和社会管理、生态文明建设等领域的人才培养能力。</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职业院校办学水平普遍提高。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——发展环境更加优化。现代职业教育制度基本建立，政策</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"http://www.chinalawedu.com/falvfagui/" \o "法规" \t "F:\\教务处\\规章制度\\_blank" </w:instrText>
      </w:r>
      <w:r>
        <w:rPr>
          <w:rFonts w:hint="eastAsia" w:ascii="宋体" w:hAnsi="宋体" w:eastAsia="宋体" w:cs="宋体"/>
          <w:kern w:val="0"/>
          <w:sz w:val="21"/>
          <w:szCs w:val="21"/>
          <w:lang w:val="en-US" w:eastAsia="zh-CN" w:bidi="ar"/>
        </w:rPr>
        <w:fldChar w:fldCharType="separate"/>
      </w:r>
      <w:r>
        <w:rPr>
          <w:rStyle w:val="3"/>
          <w:rFonts w:hint="eastAsia" w:ascii="宋体" w:hAnsi="宋体" w:eastAsia="宋体" w:cs="宋体"/>
          <w:b/>
          <w:color w:val="000099"/>
          <w:kern w:val="0"/>
          <w:szCs w:val="24"/>
          <w:lang w:val="en-US"/>
        </w:rPr>
        <w:t>法规</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333333"/>
          <w:kern w:val="0"/>
          <w:sz w:val="21"/>
          <w:szCs w:val="21"/>
          <w:lang w:val="en-US" w:eastAsia="zh-CN" w:bidi="ar"/>
        </w:rPr>
        <w:t>更加健全，相关标准更加科学规范，监管机制更加完善。引导和鼓励社会力量参与的政策更加健全。全社会人才观念显著改善，支持和参与职业教育的氛围更加浓厚。</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二、加快构建现代职业教育体系</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四）巩固提高中等职业教育发展水平。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五）创新发展高等职业教育。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七）完善职业教育人才多样化成长渠道。健全“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八）积极发展多种形式的继续教育。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三、激发职业教育办学活力</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"http://www.chinalawedu.com/" \o "法律" \t "F:\\教务处\\规章制度\\_blank" </w:instrText>
      </w:r>
      <w:r>
        <w:rPr>
          <w:rFonts w:hint="eastAsia" w:ascii="宋体" w:hAnsi="宋体" w:eastAsia="宋体" w:cs="宋体"/>
          <w:kern w:val="0"/>
          <w:sz w:val="21"/>
          <w:szCs w:val="21"/>
          <w:lang w:val="en-US" w:eastAsia="zh-CN" w:bidi="ar"/>
        </w:rPr>
        <w:fldChar w:fldCharType="separate"/>
      </w:r>
      <w:r>
        <w:rPr>
          <w:rStyle w:val="3"/>
          <w:rFonts w:hint="eastAsia" w:ascii="宋体" w:hAnsi="宋体" w:eastAsia="宋体" w:cs="宋体"/>
          <w:b/>
          <w:color w:val="000099"/>
          <w:kern w:val="0"/>
          <w:szCs w:val="24"/>
          <w:lang w:val="en-US"/>
        </w:rPr>
        <w:t>法律</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333333"/>
          <w:kern w:val="0"/>
          <w:sz w:val="21"/>
          <w:szCs w:val="21"/>
          <w:lang w:val="en-US" w:eastAsia="zh-CN" w:bidi="ar"/>
        </w:rPr>
        <w:t>地位，依法享受相关教育、财税、土地、金融等政策。健全政府补贴、购买服务、助学贷款、基金奖励、捐资激励等制度，鼓励社会力量参与职业教育办学、管理和评价。</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一）加强行业指导、评价和服务。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四、提高人才培养质量</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（十五）推进人才培养模式创新。坚持校企合作、工学结合，强化教学、学习、实训相融合的教育教学活动。推行项目教学、</w:t>
      </w:r>
      <w:r>
        <w:rPr>
          <w:rFonts w:hint="eastAsia" w:ascii="宋体" w:hAnsi="宋体" w:eastAsia="宋体" w:cs="宋体"/>
          <w:kern w:val="0"/>
          <w:sz w:val="21"/>
          <w:szCs w:val="21"/>
          <w:lang w:val="en-US" w:eastAsia="zh-CN" w:bidi="ar"/>
        </w:rPr>
        <w:fldChar w:fldCharType="begin"/>
      </w:r>
      <w:r>
        <w:rPr>
          <w:rFonts w:hint="eastAsia" w:ascii="宋体" w:hAnsi="宋体" w:eastAsia="宋体" w:cs="宋体"/>
          <w:kern w:val="0"/>
          <w:sz w:val="21"/>
          <w:szCs w:val="21"/>
          <w:lang w:val="en-US" w:eastAsia="zh-CN" w:bidi="ar"/>
        </w:rPr>
        <w:instrText xml:space="preserve"> HYPERLINK "http://www.chinalawedu.com/web/1900/" \o "案例" \t "F:\\教务处\\规章制度\\_blank" </w:instrText>
      </w:r>
      <w:r>
        <w:rPr>
          <w:rFonts w:hint="eastAsia" w:ascii="宋体" w:hAnsi="宋体" w:eastAsia="宋体" w:cs="宋体"/>
          <w:kern w:val="0"/>
          <w:sz w:val="21"/>
          <w:szCs w:val="21"/>
          <w:lang w:val="en-US" w:eastAsia="zh-CN" w:bidi="ar"/>
        </w:rPr>
        <w:fldChar w:fldCharType="separate"/>
      </w:r>
      <w:r>
        <w:rPr>
          <w:rStyle w:val="3"/>
          <w:rFonts w:hint="eastAsia" w:ascii="宋体" w:hAnsi="宋体" w:eastAsia="宋体" w:cs="宋体"/>
          <w:b/>
          <w:color w:val="000099"/>
          <w:kern w:val="0"/>
          <w:szCs w:val="24"/>
          <w:lang w:val="en-US"/>
        </w:rPr>
        <w:t>案例</w:t>
      </w:r>
      <w:r>
        <w:rPr>
          <w:rFonts w:hint="eastAsia" w:ascii="宋体" w:hAnsi="宋体" w:eastAsia="宋体" w:cs="宋体"/>
          <w:kern w:val="0"/>
          <w:sz w:val="21"/>
          <w:szCs w:val="21"/>
          <w:lang w:val="en-US" w:eastAsia="zh-CN" w:bidi="ar"/>
        </w:rPr>
        <w:fldChar w:fldCharType="end"/>
      </w:r>
      <w:r>
        <w:rPr>
          <w:rFonts w:hint="eastAsia" w:ascii="宋体" w:hAnsi="宋体" w:eastAsia="宋体" w:cs="宋体"/>
          <w:color w:val="333333"/>
          <w:kern w:val="0"/>
          <w:sz w:val="21"/>
          <w:szCs w:val="21"/>
          <w:lang w:val="en-US" w:eastAsia="zh-CN" w:bidi="ar"/>
        </w:rPr>
        <w:t>教学、工作过程导向教学等教学模式。加大实习实训在教学中的比重，创新顶岗实习形式，强化以育人为目标的实习实训考核评价。健全学生实习责任保险制度。积极推进学历证书和职业资格证书“双证书”制度。开展校企联合招生、联合培养的现代学徒制试点，完善支持政策，推进校企一体化育人。开展职业技能竞赛。</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六）建立健全课程衔接体系。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七）建设“双师型”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走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五、提升发展保障水平</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30%。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1.5%足额提取教育培训经费，从业人员技能要求高、实训耗材多、培训任务重、经济效益较好的企业可按2.5%提取，其中用于一线职工教育培训的比例不低于60%。除国务院财政、税务主管部门另有规定外，企业发生的职工教育经费支出，不超过工资薪金总额2.5%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二）加强基础能力建设。分类制定中等职业学校、高等职业院校办学标准，到2020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三）完善资助政策体系。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双重学籍”、“虚假学籍”等问题，确保资助资金有效使用。</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六、加强组织领导</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p>
    <w:p>
      <w:pPr>
        <w:keepNext w:val="0"/>
        <w:keepLines w:val="0"/>
        <w:widowControl/>
        <w:suppressLineNumbers w:val="0"/>
        <w:spacing w:before="0" w:beforeAutospacing="1" w:after="0" w:afterAutospacing="1" w:line="315" w:lineRule="atLeast"/>
        <w:ind w:left="0" w:right="0" w:firstLine="480"/>
        <w:jc w:val="both"/>
        <w:rPr>
          <w:rFonts w:hint="eastAsia" w:ascii="宋体" w:hAnsi="宋体" w:eastAsia="宋体" w:cs="宋体"/>
          <w:color w:val="333333"/>
          <w:kern w:val="0"/>
          <w:szCs w:val="21"/>
          <w:lang w:val="en-US"/>
        </w:rPr>
      </w:pPr>
      <w:r>
        <w:rPr>
          <w:rFonts w:hint="eastAsia" w:ascii="宋体" w:hAnsi="宋体" w:eastAsia="宋体" w:cs="宋体"/>
          <w:color w:val="333333"/>
          <w:kern w:val="0"/>
          <w:sz w:val="21"/>
          <w:szCs w:val="21"/>
          <w:lang w:val="en-US" w:eastAsia="zh-CN" w:bidi="ar"/>
        </w:rPr>
        <w:t>（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大力宣传高素质劳动者和技术技能人才的先进事迹和重要贡献，引导全社会确立尊重劳动、尊重知识、尊重技术、尊重创新的观念，促进形成“崇尚一技之长、不唯学历凭能力”的社会氛围，提高职业教育社会影响力和吸引力。</w:t>
      </w: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8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2018-03-18T14:14:55Z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